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381"/>
        <w:gridCol w:w="2523"/>
        <w:gridCol w:w="2523"/>
        <w:gridCol w:w="2523"/>
        <w:gridCol w:w="3595"/>
      </w:tblGrid>
      <w:tr w:rsidR="006B2FA9" w:rsidRPr="007D39A1" w14:paraId="06836736" w14:textId="77777777" w:rsidTr="00281257">
        <w:tc>
          <w:tcPr>
            <w:tcW w:w="0" w:type="auto"/>
          </w:tcPr>
          <w:p w14:paraId="165F6AC5" w14:textId="686DEEED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 xml:space="preserve">Item  </w:t>
            </w:r>
          </w:p>
        </w:tc>
        <w:tc>
          <w:tcPr>
            <w:tcW w:w="0" w:type="auto"/>
          </w:tcPr>
          <w:p w14:paraId="4DEFDA28" w14:textId="0F6836D0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NCTM SPA alignment</w:t>
            </w:r>
          </w:p>
        </w:tc>
        <w:tc>
          <w:tcPr>
            <w:tcW w:w="2523" w:type="dxa"/>
          </w:tcPr>
          <w:p w14:paraId="658FB472" w14:textId="563F1AB1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Unacceptable</w:t>
            </w:r>
          </w:p>
        </w:tc>
        <w:tc>
          <w:tcPr>
            <w:tcW w:w="2523" w:type="dxa"/>
          </w:tcPr>
          <w:p w14:paraId="550A720C" w14:textId="77777777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 xml:space="preserve">Emerging </w:t>
            </w:r>
          </w:p>
        </w:tc>
        <w:tc>
          <w:tcPr>
            <w:tcW w:w="2523" w:type="dxa"/>
          </w:tcPr>
          <w:p w14:paraId="0CC62123" w14:textId="748E5372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Proficient</w:t>
            </w:r>
            <w:r w:rsidR="00B1394B">
              <w:rPr>
                <w:rFonts w:asciiTheme="majorHAnsi" w:hAnsiTheme="majorHAnsi" w:cstheme="majorHAnsi"/>
                <w:sz w:val="22"/>
                <w:szCs w:val="22"/>
              </w:rPr>
              <w:t xml:space="preserve"> (Target)</w:t>
            </w:r>
          </w:p>
        </w:tc>
        <w:tc>
          <w:tcPr>
            <w:tcW w:w="3595" w:type="dxa"/>
          </w:tcPr>
          <w:p w14:paraId="27F1E8F9" w14:textId="77777777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 xml:space="preserve">Exemplary </w:t>
            </w:r>
          </w:p>
        </w:tc>
      </w:tr>
      <w:tr w:rsidR="006B2FA9" w:rsidRPr="007D39A1" w14:paraId="7EE32612" w14:textId="77777777" w:rsidTr="00281257">
        <w:tc>
          <w:tcPr>
            <w:tcW w:w="0" w:type="auto"/>
          </w:tcPr>
          <w:p w14:paraId="7A1B326B" w14:textId="5E09C27B" w:rsidR="00E32C0C" w:rsidRPr="007D39A1" w:rsidRDefault="00E32C0C" w:rsidP="00F433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AA</w:t>
            </w:r>
          </w:p>
        </w:tc>
        <w:tc>
          <w:tcPr>
            <w:tcW w:w="0" w:type="auto"/>
          </w:tcPr>
          <w:p w14:paraId="298F6171" w14:textId="06B24292" w:rsidR="00E32C0C" w:rsidRPr="007D39A1" w:rsidRDefault="00E32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2b</w:t>
            </w:r>
          </w:p>
        </w:tc>
        <w:tc>
          <w:tcPr>
            <w:tcW w:w="2523" w:type="dxa"/>
          </w:tcPr>
          <w:p w14:paraId="006A2EBB" w14:textId="059112EA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Does not reason abstractly, reflectively, and quantitatively with attention to units, constructing viable arguments and proofs, and critiquing the reasoning of others.</w:t>
            </w:r>
          </w:p>
        </w:tc>
        <w:tc>
          <w:tcPr>
            <w:tcW w:w="2523" w:type="dxa"/>
          </w:tcPr>
          <w:p w14:paraId="048F7927" w14:textId="40FCDC3F" w:rsidR="00E32C0C" w:rsidRPr="007D39A1" w:rsidRDefault="00E32C0C" w:rsidP="00D740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In some lessons, reasons abstractly, reflectively, and quantitatively with attention to units, constructing viable arguments and proofs, and critiquing the reasoning of others.</w:t>
            </w:r>
          </w:p>
        </w:tc>
        <w:tc>
          <w:tcPr>
            <w:tcW w:w="2523" w:type="dxa"/>
          </w:tcPr>
          <w:p w14:paraId="7BCC5C98" w14:textId="132433DA" w:rsidR="00E32C0C" w:rsidRPr="00B1394B" w:rsidRDefault="00E32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Reasons abstractly, reflectively, and quantitatively with attention to units, constructing viable arguments and proofs, and critiquing the reasoning of others.</w:t>
            </w:r>
          </w:p>
        </w:tc>
        <w:tc>
          <w:tcPr>
            <w:tcW w:w="3595" w:type="dxa"/>
          </w:tcPr>
          <w:p w14:paraId="6A09392B" w14:textId="5B509572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Reasons abstractly, reflectively, and quantitatively with attention to units, constructing viable arguments and proofs, and critiquing the reasoning of others.</w:t>
            </w:r>
          </w:p>
        </w:tc>
      </w:tr>
      <w:tr w:rsidR="006B2FA9" w:rsidRPr="007D39A1" w14:paraId="11EF7B67" w14:textId="77777777" w:rsidTr="00281257">
        <w:trPr>
          <w:trHeight w:val="521"/>
        </w:trPr>
        <w:tc>
          <w:tcPr>
            <w:tcW w:w="0" w:type="auto"/>
          </w:tcPr>
          <w:p w14:paraId="6B387F9D" w14:textId="3776D601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BB</w:t>
            </w:r>
          </w:p>
        </w:tc>
        <w:tc>
          <w:tcPr>
            <w:tcW w:w="0" w:type="auto"/>
          </w:tcPr>
          <w:p w14:paraId="3A655E92" w14:textId="01A11C69" w:rsidR="00E32C0C" w:rsidRPr="007D39A1" w:rsidRDefault="00E32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2b</w:t>
            </w:r>
          </w:p>
        </w:tc>
        <w:tc>
          <w:tcPr>
            <w:tcW w:w="2523" w:type="dxa"/>
          </w:tcPr>
          <w:p w14:paraId="7184ACA2" w14:textId="7C99FBFF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Does not r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epresent and model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generalizations using mathematics.</w:t>
            </w:r>
          </w:p>
        </w:tc>
        <w:tc>
          <w:tcPr>
            <w:tcW w:w="2523" w:type="dxa"/>
          </w:tcPr>
          <w:p w14:paraId="09DFB3C6" w14:textId="086F51DB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Occasionally r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epresents and model</w:t>
            </w:r>
            <w:r w:rsidR="00B1394B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 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generalizations using mathematics.</w:t>
            </w:r>
          </w:p>
        </w:tc>
        <w:tc>
          <w:tcPr>
            <w:tcW w:w="2523" w:type="dxa"/>
          </w:tcPr>
          <w:p w14:paraId="66005C37" w14:textId="658C5B1D" w:rsidR="00E32C0C" w:rsidRPr="007D39A1" w:rsidRDefault="00E32C0C" w:rsidP="00F433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R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epresents and models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generalizations using mathematics.</w:t>
            </w:r>
          </w:p>
        </w:tc>
        <w:tc>
          <w:tcPr>
            <w:tcW w:w="3595" w:type="dxa"/>
          </w:tcPr>
          <w:p w14:paraId="36DE870B" w14:textId="2A67D8D2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R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epresents and models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generalizations using mathematics in their lesson planning and teaching.</w:t>
            </w:r>
          </w:p>
        </w:tc>
      </w:tr>
      <w:tr w:rsidR="006B2FA9" w:rsidRPr="007D39A1" w14:paraId="2B80D754" w14:textId="77777777" w:rsidTr="00281257">
        <w:tc>
          <w:tcPr>
            <w:tcW w:w="0" w:type="auto"/>
          </w:tcPr>
          <w:p w14:paraId="2B5DE00F" w14:textId="7A0D5A93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CC</w:t>
            </w:r>
          </w:p>
        </w:tc>
        <w:tc>
          <w:tcPr>
            <w:tcW w:w="0" w:type="auto"/>
          </w:tcPr>
          <w:p w14:paraId="7161DE07" w14:textId="1CCB8E23" w:rsidR="00E32C0C" w:rsidRPr="007D39A1" w:rsidRDefault="00E32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2b</w:t>
            </w:r>
          </w:p>
        </w:tc>
        <w:tc>
          <w:tcPr>
            <w:tcW w:w="2523" w:type="dxa"/>
          </w:tcPr>
          <w:p w14:paraId="4B69576C" w14:textId="5DE9E778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Does not r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ecognize structure and express regularity in patterns of mathematical reasoning.</w:t>
            </w:r>
          </w:p>
        </w:tc>
        <w:tc>
          <w:tcPr>
            <w:tcW w:w="2523" w:type="dxa"/>
          </w:tcPr>
          <w:p w14:paraId="234B9803" w14:textId="50BC8FEE" w:rsidR="00E32C0C" w:rsidRPr="007D39A1" w:rsidRDefault="00E32C0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Occasionally r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ecognizes structure and expresses regularity in patterns of mathematical reasoning.</w:t>
            </w:r>
          </w:p>
        </w:tc>
        <w:tc>
          <w:tcPr>
            <w:tcW w:w="2523" w:type="dxa"/>
          </w:tcPr>
          <w:p w14:paraId="26137366" w14:textId="2F3B29DC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R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ecognizes structure and expresses regularity in patterns of mathematical reasoning.</w:t>
            </w:r>
          </w:p>
        </w:tc>
        <w:tc>
          <w:tcPr>
            <w:tcW w:w="3595" w:type="dxa"/>
          </w:tcPr>
          <w:p w14:paraId="533ECE65" w14:textId="7A45D2C3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R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ecognizes structure and expresses regularity in patterns of mathematical reasoning; and plans for these instances to occur in their teaching.</w:t>
            </w:r>
          </w:p>
        </w:tc>
      </w:tr>
      <w:tr w:rsidR="006B2FA9" w:rsidRPr="007D39A1" w14:paraId="1C4E2190" w14:textId="77777777" w:rsidTr="00281257">
        <w:tc>
          <w:tcPr>
            <w:tcW w:w="0" w:type="auto"/>
          </w:tcPr>
          <w:p w14:paraId="08D174CE" w14:textId="4F2DC1A8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DD</w:t>
            </w:r>
          </w:p>
        </w:tc>
        <w:tc>
          <w:tcPr>
            <w:tcW w:w="0" w:type="auto"/>
          </w:tcPr>
          <w:p w14:paraId="6B1CF9E9" w14:textId="48188BB7" w:rsidR="00E32C0C" w:rsidRPr="007D39A1" w:rsidRDefault="00E32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2b</w:t>
            </w:r>
          </w:p>
        </w:tc>
        <w:tc>
          <w:tcPr>
            <w:tcW w:w="2523" w:type="dxa"/>
          </w:tcPr>
          <w:p w14:paraId="667ABAA8" w14:textId="528FA0E9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Does not u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se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multiple representations to model and describe mathematics.</w:t>
            </w:r>
          </w:p>
        </w:tc>
        <w:tc>
          <w:tcPr>
            <w:tcW w:w="2523" w:type="dxa"/>
          </w:tcPr>
          <w:p w14:paraId="0D57A53D" w14:textId="364FC917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ses some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representations to model and describe mathematics.</w:t>
            </w:r>
          </w:p>
        </w:tc>
        <w:tc>
          <w:tcPr>
            <w:tcW w:w="2523" w:type="dxa"/>
          </w:tcPr>
          <w:p w14:paraId="766ABF57" w14:textId="2DE25A30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ses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multiple representations to model and describe mathematics. </w:t>
            </w:r>
          </w:p>
        </w:tc>
        <w:tc>
          <w:tcPr>
            <w:tcW w:w="3595" w:type="dxa"/>
          </w:tcPr>
          <w:p w14:paraId="783B76EC" w14:textId="31C7DA03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se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multiple representations to model and describe mathematics; and plans for them in most of their teaching.  </w:t>
            </w:r>
          </w:p>
        </w:tc>
      </w:tr>
      <w:tr w:rsidR="006B2FA9" w:rsidRPr="007D39A1" w14:paraId="76508FA0" w14:textId="77777777" w:rsidTr="00281257">
        <w:tc>
          <w:tcPr>
            <w:tcW w:w="0" w:type="auto"/>
          </w:tcPr>
          <w:p w14:paraId="7C6A6574" w14:textId="585CC563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EE</w:t>
            </w:r>
          </w:p>
        </w:tc>
        <w:tc>
          <w:tcPr>
            <w:tcW w:w="0" w:type="auto"/>
          </w:tcPr>
          <w:p w14:paraId="5B61CAF6" w14:textId="70B4B6E5" w:rsidR="00E32C0C" w:rsidRPr="007D39A1" w:rsidRDefault="00E32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2b</w:t>
            </w:r>
          </w:p>
        </w:tc>
        <w:tc>
          <w:tcPr>
            <w:tcW w:w="2523" w:type="dxa"/>
          </w:tcPr>
          <w:p w14:paraId="18C312AC" w14:textId="51AC55BB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Does not u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 xml:space="preserve">tilize 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appropriate mathematical vocabulary and symbols to communicate mathematical ideas to others.</w:t>
            </w:r>
          </w:p>
        </w:tc>
        <w:tc>
          <w:tcPr>
            <w:tcW w:w="2523" w:type="dxa"/>
          </w:tcPr>
          <w:p w14:paraId="0EB009F5" w14:textId="21F15909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Occasionally u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 xml:space="preserve">tilizes 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appropriate mathematical vocabulary and symbols to communicate mathematical ideas to others.</w:t>
            </w:r>
          </w:p>
        </w:tc>
        <w:tc>
          <w:tcPr>
            <w:tcW w:w="2523" w:type="dxa"/>
          </w:tcPr>
          <w:p w14:paraId="127ABBB2" w14:textId="42F16F4F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 xml:space="preserve">tilizes 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appropriate mathematical vocabulary and symbols to communicate mathematical ideas to others.</w:t>
            </w:r>
          </w:p>
        </w:tc>
        <w:tc>
          <w:tcPr>
            <w:tcW w:w="3595" w:type="dxa"/>
          </w:tcPr>
          <w:p w14:paraId="097F5E47" w14:textId="3ACE2D0D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 xml:space="preserve">tilize 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appropriate mathematical vocabulary and symbols to communicate mathematical ideas to others; and plans for these experiences to happen in their teaching.  </w:t>
            </w:r>
          </w:p>
        </w:tc>
      </w:tr>
      <w:tr w:rsidR="006B2FA9" w:rsidRPr="007D39A1" w14:paraId="7CAA717F" w14:textId="77777777" w:rsidTr="00281257">
        <w:tc>
          <w:tcPr>
            <w:tcW w:w="0" w:type="auto"/>
          </w:tcPr>
          <w:p w14:paraId="00613057" w14:textId="4F179FDD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FF</w:t>
            </w:r>
          </w:p>
        </w:tc>
        <w:tc>
          <w:tcPr>
            <w:tcW w:w="0" w:type="auto"/>
          </w:tcPr>
          <w:p w14:paraId="007F90FA" w14:textId="04B13877" w:rsidR="00E32C0C" w:rsidRPr="007D39A1" w:rsidRDefault="007D39A1" w:rsidP="00025DA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2f</w:t>
            </w:r>
          </w:p>
        </w:tc>
        <w:tc>
          <w:tcPr>
            <w:tcW w:w="2523" w:type="dxa"/>
          </w:tcPr>
          <w:p w14:paraId="2B88377F" w14:textId="77C5F61C" w:rsidR="00E32C0C" w:rsidRPr="007D39A1" w:rsidRDefault="00E32C0C" w:rsidP="00025DA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Does not model how the 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development of mathematical understanding within and among mathematical domains intersects with the mathematical practices of problem solving, reasoning, communicating, connecting, and representing.</w:t>
            </w:r>
          </w:p>
          <w:p w14:paraId="23C5DE54" w14:textId="77777777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3" w:type="dxa"/>
          </w:tcPr>
          <w:p w14:paraId="03F4F85E" w14:textId="6EE5FA59" w:rsidR="00E32C0C" w:rsidRPr="00B1394B" w:rsidRDefault="00E32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Does not model all the 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processes of how the development of mathematical understanding within and among mathematical domains intersects with the mathematical practices of problem solving, reasoning, communicating, connecting, and representing.</w:t>
            </w:r>
          </w:p>
        </w:tc>
        <w:tc>
          <w:tcPr>
            <w:tcW w:w="2523" w:type="dxa"/>
          </w:tcPr>
          <w:p w14:paraId="67E8EB36" w14:textId="77777777" w:rsidR="00E32C0C" w:rsidRPr="007D39A1" w:rsidRDefault="00E32C0C" w:rsidP="00D74030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Models how the 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development of mathematical understanding within and among mathematical domains intersects with the mathematical practices of problem solving, reasoning, communicating, connecting, and representing.</w:t>
            </w:r>
          </w:p>
          <w:p w14:paraId="6D94783E" w14:textId="77777777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73D5C580" w14:textId="31A3E6A5" w:rsidR="00E32C0C" w:rsidRPr="007D39A1" w:rsidRDefault="00E32C0C" w:rsidP="00025DA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Models how the development of 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mathematical understanding within and among mathematical domains intersects with the mathematical practices of problem solving, reasoning, communicating, connecting, and representing.</w:t>
            </w:r>
          </w:p>
          <w:p w14:paraId="6B06BDC0" w14:textId="77777777" w:rsidR="00E32C0C" w:rsidRPr="007D39A1" w:rsidRDefault="00E32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- Reflect on how the mathematical practices of problem solving, reasoning, communicating, connecting, and representing impact mathematical understanding</w:t>
            </w:r>
          </w:p>
        </w:tc>
      </w:tr>
      <w:tr w:rsidR="006B2FA9" w:rsidRPr="007D39A1" w14:paraId="0E765221" w14:textId="77777777" w:rsidTr="00281257">
        <w:tc>
          <w:tcPr>
            <w:tcW w:w="0" w:type="auto"/>
          </w:tcPr>
          <w:p w14:paraId="31D113FE" w14:textId="40E03AC1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GG</w:t>
            </w:r>
          </w:p>
        </w:tc>
        <w:tc>
          <w:tcPr>
            <w:tcW w:w="0" w:type="auto"/>
          </w:tcPr>
          <w:p w14:paraId="7169F73E" w14:textId="1DCFD28C" w:rsidR="00E32C0C" w:rsidRPr="007D39A1" w:rsidRDefault="007D39A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3d</w:t>
            </w:r>
          </w:p>
        </w:tc>
        <w:tc>
          <w:tcPr>
            <w:tcW w:w="2523" w:type="dxa"/>
          </w:tcPr>
          <w:p w14:paraId="3CF8BEAE" w14:textId="38E98397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Does not provide students with opportunities to communicate about mathematics and make connections among mathematics, other content areas, everyday life, and the workplace</w:t>
            </w:r>
          </w:p>
        </w:tc>
        <w:tc>
          <w:tcPr>
            <w:tcW w:w="2523" w:type="dxa"/>
          </w:tcPr>
          <w:p w14:paraId="2DB7F706" w14:textId="77777777" w:rsidR="00E32C0C" w:rsidRPr="007D39A1" w:rsidRDefault="00E32C0C" w:rsidP="00025DA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Provide students with limited opportunities to communicate about mathematics and make connections among mathematics, other content areas, everyday life, and the workplace.</w:t>
            </w:r>
          </w:p>
          <w:p w14:paraId="058C648B" w14:textId="77777777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3" w:type="dxa"/>
          </w:tcPr>
          <w:p w14:paraId="75F9E748" w14:textId="77777777" w:rsidR="00E32C0C" w:rsidRPr="007D39A1" w:rsidRDefault="00E32C0C" w:rsidP="00D74030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Provide students with some opportunities to communicate about mathematics and make connections among mathematics, other content areas, everyday life, and the workplace.</w:t>
            </w:r>
          </w:p>
          <w:p w14:paraId="0F2ABD9B" w14:textId="77777777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75B88DF1" w14:textId="77777777" w:rsidR="00E32C0C" w:rsidRPr="007D39A1" w:rsidRDefault="00E32C0C" w:rsidP="00025DA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Provide students with opportunities to communicate about mathematics and make connections among mathematics, other content areas, everyday life, and the workplace.</w:t>
            </w:r>
          </w:p>
          <w:p w14:paraId="442A3DF4" w14:textId="77777777" w:rsidR="00E32C0C" w:rsidRPr="007D39A1" w:rsidRDefault="00E32C0C" w:rsidP="00025DA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-Design and implement activities and investigations that require communication about mathematics.</w:t>
            </w:r>
          </w:p>
          <w:p w14:paraId="23978698" w14:textId="77777777" w:rsidR="00E32C0C" w:rsidRPr="007D39A1" w:rsidRDefault="00E32C0C" w:rsidP="00025DA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- Design and implement activities and investigations that foster students making mathematical connections with other content areas, everyday life events, and the workplace.</w:t>
            </w:r>
          </w:p>
          <w:p w14:paraId="082F0242" w14:textId="07C22577" w:rsidR="00E32C0C" w:rsidRPr="00B1394B" w:rsidRDefault="00E32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- Encourage students to employ a variety of forms of communication that target varied audiences and purposes across content areas.</w:t>
            </w:r>
          </w:p>
        </w:tc>
      </w:tr>
      <w:tr w:rsidR="006B2FA9" w:rsidRPr="007D39A1" w14:paraId="75A6C9C8" w14:textId="77777777" w:rsidTr="00281257">
        <w:tc>
          <w:tcPr>
            <w:tcW w:w="0" w:type="auto"/>
          </w:tcPr>
          <w:p w14:paraId="6C397FA5" w14:textId="09099270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HH</w:t>
            </w:r>
          </w:p>
        </w:tc>
        <w:tc>
          <w:tcPr>
            <w:tcW w:w="0" w:type="auto"/>
          </w:tcPr>
          <w:p w14:paraId="519AA497" w14:textId="48CD09DE" w:rsidR="00E32C0C" w:rsidRPr="007D39A1" w:rsidRDefault="007D39A1" w:rsidP="00025DA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3e</w:t>
            </w:r>
          </w:p>
        </w:tc>
        <w:tc>
          <w:tcPr>
            <w:tcW w:w="2523" w:type="dxa"/>
          </w:tcPr>
          <w:p w14:paraId="74E2DDF7" w14:textId="093F0475" w:rsidR="00E32C0C" w:rsidRPr="007D39A1" w:rsidRDefault="00E32C0C" w:rsidP="00025DA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Does not implement techniques related to 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student engagement and communication including selecting high quality tasks, guiding mathematical discussions, identifying key mathematical ideas, identifying and addressing student misconceptions, and employing a range of questioning strategies.</w:t>
            </w:r>
          </w:p>
          <w:p w14:paraId="3E6A44D7" w14:textId="77777777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3" w:type="dxa"/>
          </w:tcPr>
          <w:p w14:paraId="0DDFCC8B" w14:textId="77D42899" w:rsidR="00E32C0C" w:rsidRPr="007D39A1" w:rsidRDefault="00E32C0C" w:rsidP="00025DA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Implement</w:t>
            </w:r>
            <w:r w:rsidR="00B1394B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limited techniques related to 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student engagement and communication including selecting high quality tasks, guiding mathematical discussions, identifying key mathematical ideas, identifying and addressing student misconceptions, and employing a range of questioning strategies.</w:t>
            </w:r>
          </w:p>
          <w:p w14:paraId="5DB69B34" w14:textId="77777777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3" w:type="dxa"/>
          </w:tcPr>
          <w:p w14:paraId="416D0843" w14:textId="77777777" w:rsidR="00E32C0C" w:rsidRPr="007D39A1" w:rsidRDefault="00E32C0C" w:rsidP="00D74030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 xml:space="preserve">Implements techniques related to student 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engagement and communication that includes only one of the following techniques: selecting high quality tasks, guiding mathematical discussions, identifying key mathematical ideas, identifying and addressing student misconceptions, and employing a range of questioning strategies.</w:t>
            </w:r>
          </w:p>
          <w:p w14:paraId="0EE2BB2C" w14:textId="77777777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2B334FBE" w14:textId="21265B90" w:rsidR="00E32C0C" w:rsidRPr="007D39A1" w:rsidRDefault="00E32C0C" w:rsidP="00025DA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Implement</w:t>
            </w:r>
            <w:r w:rsidR="00B1394B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techniques related to student engagement and </w:t>
            </w: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communication including selecting high quality tasks, guiding mathematical discussions, identifying key mathematical ideas, identifying and addressing student misconceptions, and employing a range of questioning strategies.</w:t>
            </w:r>
          </w:p>
          <w:p w14:paraId="6A86EDCF" w14:textId="77777777" w:rsidR="00E32C0C" w:rsidRPr="007D39A1" w:rsidRDefault="00E32C0C" w:rsidP="00025DA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-Implement techniques for actively engaging students in learning and doing mathematics.</w:t>
            </w:r>
          </w:p>
          <w:p w14:paraId="555E0A78" w14:textId="77777777" w:rsidR="00E32C0C" w:rsidRPr="007D39A1" w:rsidRDefault="00E32C0C" w:rsidP="00025DA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- Provide instruction that incorporates high quality tasks and a range of questioning strategies. </w:t>
            </w:r>
          </w:p>
          <w:p w14:paraId="13C4897E" w14:textId="77777777" w:rsidR="00E32C0C" w:rsidRPr="007D39A1" w:rsidRDefault="00E32C0C" w:rsidP="00025DA8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- Guide productive mathematical discussions in classrooms centered on key mathematical ideas.</w:t>
            </w:r>
          </w:p>
          <w:p w14:paraId="7E5DF5AC" w14:textId="3E2406E5" w:rsidR="00E32C0C" w:rsidRPr="00B1394B" w:rsidRDefault="00E32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- Select and apply instructional techniques that assist in identifying and addressing student misconceptions.</w:t>
            </w:r>
          </w:p>
        </w:tc>
      </w:tr>
      <w:tr w:rsidR="006B2FA9" w:rsidRPr="007D39A1" w14:paraId="1A16F04F" w14:textId="77777777" w:rsidTr="00281257">
        <w:tc>
          <w:tcPr>
            <w:tcW w:w="0" w:type="auto"/>
          </w:tcPr>
          <w:p w14:paraId="1A97F911" w14:textId="482A2EE7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II</w:t>
            </w:r>
          </w:p>
        </w:tc>
        <w:tc>
          <w:tcPr>
            <w:tcW w:w="0" w:type="auto"/>
          </w:tcPr>
          <w:p w14:paraId="55AB2891" w14:textId="7D006EA6" w:rsidR="00E32C0C" w:rsidRPr="007D39A1" w:rsidRDefault="007D39A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4a</w:t>
            </w:r>
          </w:p>
        </w:tc>
        <w:tc>
          <w:tcPr>
            <w:tcW w:w="2523" w:type="dxa"/>
          </w:tcPr>
          <w:p w14:paraId="533ABAF2" w14:textId="34A91584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Does not exhibit knowledge of adolescent learning, development, and behavior and demonstrate a positive disposition toward mathematical processes and learning.</w:t>
            </w:r>
          </w:p>
        </w:tc>
        <w:tc>
          <w:tcPr>
            <w:tcW w:w="2523" w:type="dxa"/>
          </w:tcPr>
          <w:p w14:paraId="0F22B17B" w14:textId="77777777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Exhibits some knowledge of adolescent learning, development, and behavior and demonstrate a positive disposition toward mathematical processes and learning.</w:t>
            </w:r>
          </w:p>
        </w:tc>
        <w:tc>
          <w:tcPr>
            <w:tcW w:w="2523" w:type="dxa"/>
          </w:tcPr>
          <w:p w14:paraId="40FF6DD0" w14:textId="77777777" w:rsidR="00E32C0C" w:rsidRPr="007D39A1" w:rsidRDefault="00E32C0C" w:rsidP="00D74030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Exhibit knowledge of adolescent learning, development, and behavior and demonstrate a positive disposition toward mathematical processes and learning.</w:t>
            </w:r>
          </w:p>
          <w:p w14:paraId="22248BE5" w14:textId="77777777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6F17A708" w14:textId="77777777" w:rsidR="00E32C0C" w:rsidRPr="007D39A1" w:rsidRDefault="00E32C0C" w:rsidP="009805B0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Exhibit knowledge of adolescent learning, development, and behavior and demonstrate a positive disposition toward mathematical processes and learning.</w:t>
            </w:r>
          </w:p>
          <w:p w14:paraId="796FCBBF" w14:textId="77777777" w:rsidR="00E32C0C" w:rsidRPr="007D39A1" w:rsidRDefault="00E32C0C" w:rsidP="009805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- Exhibit knowledge of adolescent</w:t>
            </w:r>
          </w:p>
          <w:p w14:paraId="50E869AD" w14:textId="77777777" w:rsidR="00E32C0C" w:rsidRPr="007D39A1" w:rsidRDefault="00E32C0C" w:rsidP="009805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learning, development, and behavior.</w:t>
            </w:r>
          </w:p>
          <w:p w14:paraId="7F2B0575" w14:textId="77777777" w:rsidR="00E32C0C" w:rsidRPr="007D39A1" w:rsidRDefault="00E32C0C" w:rsidP="009805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- Demonstrate a positive disposition</w:t>
            </w:r>
          </w:p>
          <w:p w14:paraId="307D641F" w14:textId="77777777" w:rsidR="00E32C0C" w:rsidRPr="007D39A1" w:rsidRDefault="00E32C0C" w:rsidP="009805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toward mathematical processes and</w:t>
            </w:r>
          </w:p>
          <w:p w14:paraId="5576D499" w14:textId="77777777" w:rsidR="00E32C0C" w:rsidRPr="007D39A1" w:rsidRDefault="00E32C0C" w:rsidP="009805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learning.</w:t>
            </w:r>
          </w:p>
          <w:p w14:paraId="4AC6DB88" w14:textId="77777777" w:rsidR="00E32C0C" w:rsidRPr="007D39A1" w:rsidRDefault="00E32C0C" w:rsidP="009805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 xml:space="preserve">- Know how students construct </w:t>
            </w:r>
          </w:p>
          <w:p w14:paraId="49E0C41A" w14:textId="77777777" w:rsidR="00E32C0C" w:rsidRPr="007D39A1" w:rsidRDefault="00E32C0C" w:rsidP="009805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 xml:space="preserve">learning. knowledge, acquire skills, </w:t>
            </w:r>
            <w:r w:rsidRPr="007D39A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and develop</w:t>
            </w:r>
          </w:p>
          <w:p w14:paraId="4ECFEF2A" w14:textId="77777777" w:rsidR="00E32C0C" w:rsidRPr="007D39A1" w:rsidRDefault="00E32C0C" w:rsidP="009805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disciplined thinking processes.</w:t>
            </w:r>
          </w:p>
        </w:tc>
      </w:tr>
      <w:tr w:rsidR="006B2FA9" w:rsidRPr="007D39A1" w14:paraId="2A24D5D3" w14:textId="77777777" w:rsidTr="00281257">
        <w:tc>
          <w:tcPr>
            <w:tcW w:w="0" w:type="auto"/>
          </w:tcPr>
          <w:p w14:paraId="7D0DB633" w14:textId="2BB5760F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JJ</w:t>
            </w:r>
          </w:p>
        </w:tc>
        <w:tc>
          <w:tcPr>
            <w:tcW w:w="0" w:type="auto"/>
          </w:tcPr>
          <w:p w14:paraId="11CC1788" w14:textId="14A1D0D1" w:rsidR="00E32C0C" w:rsidRPr="007D39A1" w:rsidRDefault="007D39A1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4a</w:t>
            </w:r>
          </w:p>
        </w:tc>
        <w:tc>
          <w:tcPr>
            <w:tcW w:w="2523" w:type="dxa"/>
          </w:tcPr>
          <w:p w14:paraId="1213C8E0" w14:textId="224024AF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Does not apply and select appropriate tools that demonstrate a positive disposition toward mathematical processes and learning</w:t>
            </w:r>
          </w:p>
        </w:tc>
        <w:tc>
          <w:tcPr>
            <w:tcW w:w="2523" w:type="dxa"/>
          </w:tcPr>
          <w:p w14:paraId="1C0E0714" w14:textId="77777777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Rarely applies and selects appropriate tools that demonstrate a positive disposition toward mathematical processes and learning</w:t>
            </w:r>
          </w:p>
        </w:tc>
        <w:tc>
          <w:tcPr>
            <w:tcW w:w="2523" w:type="dxa"/>
          </w:tcPr>
          <w:p w14:paraId="61324B9A" w14:textId="77777777" w:rsidR="00E32C0C" w:rsidRPr="007D39A1" w:rsidRDefault="00E32C0C" w:rsidP="005303A5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Apply and select appropriate tools that demonstrate a positive disposition toward mathematical processes and learning.</w:t>
            </w:r>
          </w:p>
          <w:p w14:paraId="618B3BC5" w14:textId="77777777" w:rsidR="00E32C0C" w:rsidRPr="007D39A1" w:rsidRDefault="00E32C0C" w:rsidP="005061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5" w:type="dxa"/>
          </w:tcPr>
          <w:p w14:paraId="3580D2D4" w14:textId="77777777" w:rsidR="00E32C0C" w:rsidRPr="007D39A1" w:rsidRDefault="00E32C0C" w:rsidP="009805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Seeks out new tools to apply to their teaching that demonstrates a positive disposition toward mathematical processes and learning</w:t>
            </w:r>
          </w:p>
        </w:tc>
      </w:tr>
      <w:tr w:rsidR="006B2FA9" w:rsidRPr="007D39A1" w14:paraId="25D00E67" w14:textId="77777777" w:rsidTr="00281257">
        <w:tc>
          <w:tcPr>
            <w:tcW w:w="0" w:type="auto"/>
          </w:tcPr>
          <w:p w14:paraId="622BCC14" w14:textId="2757FDD6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KK</w:t>
            </w:r>
          </w:p>
        </w:tc>
        <w:tc>
          <w:tcPr>
            <w:tcW w:w="0" w:type="auto"/>
          </w:tcPr>
          <w:p w14:paraId="2FFF1048" w14:textId="1ED494CE" w:rsidR="00E32C0C" w:rsidRPr="007D39A1" w:rsidRDefault="007D39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>4e</w:t>
            </w:r>
          </w:p>
        </w:tc>
        <w:tc>
          <w:tcPr>
            <w:tcW w:w="2523" w:type="dxa"/>
          </w:tcPr>
          <w:p w14:paraId="4540FF98" w14:textId="5DAF7A98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hAnsiTheme="majorHAnsi" w:cstheme="majorHAnsi"/>
                <w:sz w:val="22"/>
                <w:szCs w:val="22"/>
              </w:rPr>
              <w:t xml:space="preserve">Does not use instructional tools such as manipulatives and physical models, drawings, virtual environments, spreadsheets, presentation tools, and mathematics-specific technologies.  </w:t>
            </w:r>
          </w:p>
        </w:tc>
        <w:tc>
          <w:tcPr>
            <w:tcW w:w="2523" w:type="dxa"/>
          </w:tcPr>
          <w:p w14:paraId="699A4C5F" w14:textId="77777777" w:rsidR="00E32C0C" w:rsidRPr="007D39A1" w:rsidRDefault="00E32C0C" w:rsidP="00907C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Applies little mathematical content and pedagogical knowledge when selecting and use instructional tools such as manipulatives and physical models, drawings, virtual environments, spreadsheets, presentation tools, and mathematics-specific technologies (e.g., graphing tools, interactive geometry software, computer algebra systems, and statistical packages).</w:t>
            </w:r>
          </w:p>
        </w:tc>
        <w:tc>
          <w:tcPr>
            <w:tcW w:w="2523" w:type="dxa"/>
          </w:tcPr>
          <w:p w14:paraId="5F70D6C4" w14:textId="77777777" w:rsidR="00E32C0C" w:rsidRPr="007D39A1" w:rsidRDefault="00E32C0C" w:rsidP="00907C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Apply mathematical content and pedagogical knowledge to select and use instructional tools such as manipulatives and physical models, drawings, virtual environments, spreadsheets, presentation tools, and mathematics-specific technologies (e.g., graphing tools, interactive geometry software, computer algebra systems, and statistical packages).</w:t>
            </w:r>
          </w:p>
        </w:tc>
        <w:tc>
          <w:tcPr>
            <w:tcW w:w="3595" w:type="dxa"/>
          </w:tcPr>
          <w:p w14:paraId="06EBF985" w14:textId="77777777" w:rsidR="00E32C0C" w:rsidRPr="007D39A1" w:rsidRDefault="00E32C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D39A1">
              <w:rPr>
                <w:rFonts w:asciiTheme="majorHAnsi" w:eastAsia="Times New Roman" w:hAnsiTheme="majorHAnsi" w:cstheme="majorHAnsi"/>
                <w:sz w:val="22"/>
                <w:szCs w:val="22"/>
              </w:rPr>
              <w:t>Apply mathematical content and pedagogical knowledge to select and use instructional tools such as manipulatives and physical models, drawings, virtual environments, spreadsheets, presentation tools, and mathematics-specific technologies (e.g., graphing tools, interactive geometry software, computer algebra systems, and statistical packages); and make sound decisions about when such tools enhance teaching and learning, recognizing both the insights to be gained and possible limitations of such tools</w:t>
            </w:r>
          </w:p>
        </w:tc>
      </w:tr>
    </w:tbl>
    <w:p w14:paraId="39C549E7" w14:textId="77777777" w:rsidR="00E5746D" w:rsidRPr="007D39A1" w:rsidRDefault="00E5746D">
      <w:pPr>
        <w:rPr>
          <w:rFonts w:asciiTheme="majorHAnsi" w:hAnsiTheme="majorHAnsi" w:cstheme="majorHAnsi"/>
          <w:sz w:val="22"/>
          <w:szCs w:val="22"/>
        </w:rPr>
      </w:pPr>
    </w:p>
    <w:sectPr w:rsidR="00E5746D" w:rsidRPr="007D39A1" w:rsidSect="00F43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E34EE" w14:textId="77777777" w:rsidR="00F65BA9" w:rsidRDefault="00F65BA9" w:rsidP="00943A5A">
      <w:r>
        <w:separator/>
      </w:r>
    </w:p>
  </w:endnote>
  <w:endnote w:type="continuationSeparator" w:id="0">
    <w:p w14:paraId="373A6B34" w14:textId="77777777" w:rsidR="00F65BA9" w:rsidRDefault="00F65BA9" w:rsidP="0094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3497" w14:textId="77777777" w:rsidR="00943A5A" w:rsidRDefault="00943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ABC3F" w14:textId="77777777" w:rsidR="00943A5A" w:rsidRDefault="00943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1C9C" w14:textId="77777777" w:rsidR="00943A5A" w:rsidRDefault="00943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C289A" w14:textId="77777777" w:rsidR="00F65BA9" w:rsidRDefault="00F65BA9" w:rsidP="00943A5A">
      <w:r>
        <w:separator/>
      </w:r>
    </w:p>
  </w:footnote>
  <w:footnote w:type="continuationSeparator" w:id="0">
    <w:p w14:paraId="339F6D7F" w14:textId="77777777" w:rsidR="00F65BA9" w:rsidRDefault="00F65BA9" w:rsidP="0094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4C2D" w14:textId="77777777" w:rsidR="00943A5A" w:rsidRDefault="00943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ED42" w14:textId="08C4D21B" w:rsidR="00943A5A" w:rsidRDefault="00943A5A" w:rsidP="00943A5A">
    <w:pPr>
      <w:pStyle w:val="Header"/>
      <w:jc w:val="center"/>
    </w:pPr>
    <w:r>
      <w:t>Secondary</w:t>
    </w:r>
    <w:bookmarkStart w:id="0" w:name="_GoBack"/>
    <w:bookmarkEnd w:id="0"/>
    <w:r>
      <w:t xml:space="preserve"> Math Addendum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43EE" w14:textId="77777777" w:rsidR="00943A5A" w:rsidRDefault="00943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304"/>
    <w:rsid w:val="00025DA8"/>
    <w:rsid w:val="000C3E67"/>
    <w:rsid w:val="00281257"/>
    <w:rsid w:val="00377485"/>
    <w:rsid w:val="005061B7"/>
    <w:rsid w:val="005303A5"/>
    <w:rsid w:val="006B2FA9"/>
    <w:rsid w:val="007B251D"/>
    <w:rsid w:val="007D39A1"/>
    <w:rsid w:val="0089075C"/>
    <w:rsid w:val="00907CA2"/>
    <w:rsid w:val="00943A5A"/>
    <w:rsid w:val="009805B0"/>
    <w:rsid w:val="00A35180"/>
    <w:rsid w:val="00B1394B"/>
    <w:rsid w:val="00B2775D"/>
    <w:rsid w:val="00C27637"/>
    <w:rsid w:val="00D10C99"/>
    <w:rsid w:val="00D74030"/>
    <w:rsid w:val="00E32C0C"/>
    <w:rsid w:val="00E5746D"/>
    <w:rsid w:val="00F43304"/>
    <w:rsid w:val="00F6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A2EDC"/>
  <w14:defaultImageDpi w14:val="300"/>
  <w15:docId w15:val="{DFDF0AD6-A6FD-0347-B5B7-87CED0AE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A5A"/>
  </w:style>
  <w:style w:type="paragraph" w:styleId="Footer">
    <w:name w:val="footer"/>
    <w:basedOn w:val="Normal"/>
    <w:link w:val="FooterChar"/>
    <w:uiPriority w:val="99"/>
    <w:unhideWhenUsed/>
    <w:rsid w:val="0094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Uteach CoEHS</dc:creator>
  <cp:keywords/>
  <dc:description/>
  <cp:lastModifiedBy>ofsassistant</cp:lastModifiedBy>
  <cp:revision>3</cp:revision>
  <dcterms:created xsi:type="dcterms:W3CDTF">2018-02-07T15:04:00Z</dcterms:created>
  <dcterms:modified xsi:type="dcterms:W3CDTF">2018-08-21T18:33:00Z</dcterms:modified>
</cp:coreProperties>
</file>